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A2" w:rsidRDefault="00574D84">
      <w:pPr>
        <w:rPr>
          <w:lang w:val="en-US"/>
        </w:rPr>
      </w:pPr>
      <w:proofErr w:type="spellStart"/>
      <w:r w:rsidRPr="00574D84">
        <w:t>Belex</w:t>
      </w:r>
      <w:proofErr w:type="spellEnd"/>
      <w:r w:rsidRPr="00574D84">
        <w:t xml:space="preserve"> </w:t>
      </w:r>
      <w:proofErr w:type="spellStart"/>
      <w:r w:rsidRPr="00574D84">
        <w:t>Morning</w:t>
      </w:r>
      <w:proofErr w:type="spellEnd"/>
      <w:r w:rsidRPr="00574D84">
        <w:t xml:space="preserve"> </w:t>
      </w:r>
      <w:proofErr w:type="spellStart"/>
      <w:r w:rsidRPr="00574D84">
        <w:t>note</w:t>
      </w:r>
      <w:proofErr w:type="spellEnd"/>
    </w:p>
    <w:p w:rsidR="00574D84" w:rsidRDefault="00574D84">
      <w:pPr>
        <w:rPr>
          <w:lang w:val="en-US"/>
        </w:rPr>
      </w:pPr>
    </w:p>
    <w:p w:rsidR="00574D84" w:rsidRDefault="00574D84">
      <w:pPr>
        <w:rPr>
          <w:lang w:val="en-US"/>
        </w:rPr>
      </w:pPr>
      <w:r>
        <w:rPr>
          <w:rFonts w:eastAsia="Times New Roman"/>
          <w:noProof/>
          <w:color w:val="auto"/>
          <w:sz w:val="24"/>
          <w:szCs w:val="24"/>
          <w:lang w:eastAsia="bg-BG"/>
        </w:rPr>
        <w:drawing>
          <wp:inline distT="0" distB="0" distL="0" distR="0">
            <wp:extent cx="5760720" cy="2954083"/>
            <wp:effectExtent l="19050" t="0" r="0" b="0"/>
            <wp:docPr id="1" name="Картина 1" descr="cid:image001.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968.C0826700"/>
                    <pic:cNvPicPr>
                      <a:picLocks noChangeAspect="1" noChangeArrowheads="1"/>
                    </pic:cNvPicPr>
                  </pic:nvPicPr>
                  <pic:blipFill>
                    <a:blip r:embed="rId4" r:link="rId5"/>
                    <a:srcRect/>
                    <a:stretch>
                      <a:fillRect/>
                    </a:stretch>
                  </pic:blipFill>
                  <pic:spPr bwMode="auto">
                    <a:xfrm>
                      <a:off x="0" y="0"/>
                      <a:ext cx="5760720" cy="2954083"/>
                    </a:xfrm>
                    <a:prstGeom prst="rect">
                      <a:avLst/>
                    </a:prstGeom>
                    <a:noFill/>
                    <a:ln w="9525">
                      <a:noFill/>
                      <a:miter lim="800000"/>
                      <a:headEnd/>
                      <a:tailEnd/>
                    </a:ln>
                  </pic:spPr>
                </pic:pic>
              </a:graphicData>
            </a:graphic>
          </wp:inline>
        </w:drawing>
      </w:r>
    </w:p>
    <w:p w:rsidR="00574D84" w:rsidRDefault="00574D84">
      <w:pPr>
        <w:rPr>
          <w:lang w:val="en-US"/>
        </w:rPr>
      </w:pPr>
    </w:p>
    <w:tbl>
      <w:tblPr>
        <w:tblW w:w="8064" w:type="dxa"/>
        <w:tblCellSpacing w:w="0" w:type="dxa"/>
        <w:tblCellMar>
          <w:left w:w="0" w:type="dxa"/>
          <w:right w:w="0" w:type="dxa"/>
        </w:tblCellMar>
        <w:tblLook w:val="04A0"/>
      </w:tblPr>
      <w:tblGrid>
        <w:gridCol w:w="6"/>
        <w:gridCol w:w="929"/>
        <w:gridCol w:w="23"/>
        <w:gridCol w:w="2257"/>
        <w:gridCol w:w="55"/>
        <w:gridCol w:w="5729"/>
        <w:gridCol w:w="52"/>
        <w:gridCol w:w="16"/>
        <w:gridCol w:w="5"/>
      </w:tblGrid>
      <w:tr w:rsidR="00574D84" w:rsidTr="00574D84">
        <w:trPr>
          <w:trHeight w:val="312"/>
          <w:tblCellSpacing w:w="0" w:type="dxa"/>
        </w:trPr>
        <w:tc>
          <w:tcPr>
            <w:tcW w:w="6" w:type="dxa"/>
            <w:vAlign w:val="center"/>
            <w:hideMark/>
          </w:tcPr>
          <w:p w:rsidR="00574D84" w:rsidRDefault="00574D84">
            <w:pPr>
              <w:rPr>
                <w:rFonts w:asciiTheme="minorHAnsi" w:hAnsiTheme="minorHAnsi" w:cstheme="minorBidi"/>
                <w:color w:val="auto"/>
              </w:rPr>
            </w:pPr>
          </w:p>
        </w:tc>
        <w:tc>
          <w:tcPr>
            <w:tcW w:w="2088" w:type="dxa"/>
            <w:gridSpan w:val="4"/>
            <w:vMerge w:val="restart"/>
            <w:hideMark/>
          </w:tcPr>
          <w:p w:rsidR="00574D84" w:rsidRDefault="00574D84">
            <w:pPr>
              <w:pStyle w:val="msoaccenttext2"/>
              <w:spacing w:after="0" w:line="268" w:lineRule="auto"/>
              <w:jc w:val="both"/>
              <w:rPr>
                <w:lang w:eastAsia="en-US"/>
              </w:rPr>
            </w:pPr>
            <w:r>
              <w:rPr>
                <w:rFonts w:ascii="Verdana" w:hAnsi="Verdana"/>
                <w:b/>
                <w:bCs/>
                <w:sz w:val="16"/>
                <w:szCs w:val="16"/>
                <w:lang w:val="sr-Latn-CS" w:eastAsia="en-US"/>
              </w:rPr>
              <w:t>Economy</w:t>
            </w:r>
          </w:p>
        </w:tc>
        <w:tc>
          <w:tcPr>
            <w:tcW w:w="5976" w:type="dxa"/>
            <w:gridSpan w:val="4"/>
            <w:vMerge w:val="restart"/>
            <w:hideMark/>
          </w:tcPr>
          <w:p w:rsidR="00574D84" w:rsidRDefault="00574D84">
            <w:pPr>
              <w:rPr>
                <w:rFonts w:asciiTheme="minorHAnsi" w:hAnsiTheme="minorHAnsi" w:cstheme="minorBidi"/>
                <w:color w:val="auto"/>
              </w:rPr>
            </w:pPr>
          </w:p>
        </w:tc>
      </w:tr>
      <w:tr w:rsidR="00574D84" w:rsidTr="00574D84">
        <w:trPr>
          <w:trHeight w:val="36"/>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gridSpan w:val="4"/>
            <w:vMerge/>
            <w:vAlign w:val="center"/>
            <w:hideMark/>
          </w:tcPr>
          <w:p w:rsidR="00574D84" w:rsidRDefault="00574D84">
            <w:pPr>
              <w:rPr>
                <w:rFonts w:ascii="Trebuchet MS" w:hAnsi="Trebuchet MS"/>
                <w:sz w:val="12"/>
                <w:szCs w:val="12"/>
              </w:rPr>
            </w:pPr>
          </w:p>
        </w:tc>
        <w:tc>
          <w:tcPr>
            <w:tcW w:w="0" w:type="auto"/>
            <w:gridSpan w:val="4"/>
            <w:vMerge/>
            <w:vAlign w:val="center"/>
            <w:hideMark/>
          </w:tcPr>
          <w:p w:rsidR="00574D84" w:rsidRDefault="00574D84">
            <w:pPr>
              <w:rPr>
                <w:rFonts w:asciiTheme="minorHAnsi" w:hAnsiTheme="minorHAnsi" w:cstheme="minorBidi"/>
                <w:color w:val="auto"/>
              </w:rPr>
            </w:pPr>
          </w:p>
        </w:tc>
      </w:tr>
      <w:tr w:rsidR="00574D84" w:rsidTr="00574D84">
        <w:trPr>
          <w:trHeight w:val="120"/>
          <w:tblCellSpacing w:w="0" w:type="dxa"/>
        </w:trPr>
        <w:tc>
          <w:tcPr>
            <w:tcW w:w="6" w:type="dxa"/>
            <w:vAlign w:val="center"/>
            <w:hideMark/>
          </w:tcPr>
          <w:p w:rsidR="00574D84" w:rsidRDefault="00574D84">
            <w:pPr>
              <w:rPr>
                <w:rFonts w:asciiTheme="minorHAnsi" w:hAnsiTheme="minorHAnsi" w:cstheme="minorBidi"/>
                <w:color w:val="auto"/>
              </w:rPr>
            </w:pPr>
          </w:p>
        </w:tc>
        <w:tc>
          <w:tcPr>
            <w:tcW w:w="8052" w:type="dxa"/>
            <w:gridSpan w:val="7"/>
            <w:hideMark/>
          </w:tcPr>
          <w:p w:rsidR="00574D84" w:rsidRDefault="00574D84">
            <w:pPr>
              <w:spacing w:line="120" w:lineRule="atLeast"/>
              <w:rPr>
                <w:rFonts w:eastAsia="Times New Roman"/>
                <w:color w:val="auto"/>
                <w:sz w:val="24"/>
                <w:szCs w:val="24"/>
              </w:rPr>
            </w:pPr>
            <w:r>
              <w:rPr>
                <w:rFonts w:eastAsia="Times New Roman"/>
                <w:noProof/>
                <w:color w:val="auto"/>
                <w:sz w:val="24"/>
                <w:szCs w:val="24"/>
                <w:lang w:eastAsia="bg-BG"/>
              </w:rPr>
              <w:drawing>
                <wp:inline distT="0" distB="0" distL="0" distR="0">
                  <wp:extent cx="6395085" cy="97790"/>
                  <wp:effectExtent l="19050" t="0" r="5715" b="0"/>
                  <wp:docPr id="4" name="Картина 4" descr="cid:image002.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08968.C0826700"/>
                          <pic:cNvPicPr>
                            <a:picLocks noChangeAspect="1" noChangeArrowheads="1"/>
                          </pic:cNvPicPr>
                        </pic:nvPicPr>
                        <pic:blipFill>
                          <a:blip r:embed="rId6" r:link="rId7"/>
                          <a:srcRect/>
                          <a:stretch>
                            <a:fillRect/>
                          </a:stretch>
                        </pic:blipFill>
                        <pic:spPr bwMode="auto">
                          <a:xfrm>
                            <a:off x="0" y="0"/>
                            <a:ext cx="6395085" cy="97790"/>
                          </a:xfrm>
                          <a:prstGeom prst="rect">
                            <a:avLst/>
                          </a:prstGeom>
                          <a:noFill/>
                          <a:ln w="9525">
                            <a:noFill/>
                            <a:miter lim="800000"/>
                            <a:headEnd/>
                            <a:tailEnd/>
                          </a:ln>
                        </pic:spPr>
                      </pic:pic>
                    </a:graphicData>
                  </a:graphic>
                </wp:inline>
              </w:drawing>
            </w:r>
          </w:p>
        </w:tc>
        <w:tc>
          <w:tcPr>
            <w:tcW w:w="12" w:type="dxa"/>
            <w:hideMark/>
          </w:tcPr>
          <w:p w:rsidR="00574D84" w:rsidRDefault="00574D84">
            <w:pPr>
              <w:rPr>
                <w:rFonts w:asciiTheme="minorHAnsi" w:hAnsiTheme="minorHAnsi" w:cstheme="minorBidi"/>
                <w:color w:val="auto"/>
              </w:rPr>
            </w:pPr>
          </w:p>
        </w:tc>
      </w:tr>
      <w:tr w:rsidR="00574D84" w:rsidTr="00574D84">
        <w:trPr>
          <w:trHeight w:val="48"/>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hideMark/>
          </w:tcPr>
          <w:p w:rsidR="00574D84" w:rsidRDefault="00574D84">
            <w:pPr>
              <w:rPr>
                <w:rFonts w:asciiTheme="minorHAnsi" w:hAnsiTheme="minorHAnsi" w:cstheme="minorBidi"/>
                <w:color w:val="auto"/>
              </w:rPr>
            </w:pPr>
          </w:p>
        </w:tc>
      </w:tr>
      <w:tr w:rsidR="00574D84" w:rsidTr="00574D84">
        <w:trPr>
          <w:trHeight w:val="2868"/>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vMerge w:val="restart"/>
            <w:hideMark/>
          </w:tcPr>
          <w:p w:rsidR="00574D84" w:rsidRDefault="00574D84">
            <w:pPr>
              <w:jc w:val="both"/>
              <w:rPr>
                <w:rFonts w:ascii="Times New Roman" w:hAnsi="Times New Roman" w:cs="Times New Roman"/>
                <w:sz w:val="16"/>
                <w:szCs w:val="16"/>
              </w:rPr>
            </w:pPr>
            <w:r>
              <w:rPr>
                <w:rFonts w:ascii="Verdana" w:hAnsi="Verdana"/>
                <w:b/>
                <w:bCs w:val="0"/>
                <w:lang w:val="en-US"/>
              </w:rPr>
              <w:t>PM: Serbia emerges from recession this year</w:t>
            </w:r>
          </w:p>
          <w:p w:rsidR="00574D84" w:rsidRDefault="00574D84">
            <w:pPr>
              <w:jc w:val="both"/>
            </w:pPr>
            <w:r>
              <w:rPr>
                <w:rFonts w:ascii="Verdana" w:hAnsi="Verdana"/>
                <w:lang w:val="en-US"/>
              </w:rPr>
              <w:t xml:space="preserve">Serbian Prime Minister </w:t>
            </w:r>
            <w:proofErr w:type="spellStart"/>
            <w:r>
              <w:rPr>
                <w:rFonts w:ascii="Verdana" w:hAnsi="Verdana"/>
                <w:lang w:val="en-US"/>
              </w:rPr>
              <w:t>Aleksandar</w:t>
            </w:r>
            <w:proofErr w:type="spellEnd"/>
            <w:r>
              <w:rPr>
                <w:rFonts w:ascii="Verdana" w:hAnsi="Verdana"/>
                <w:lang w:val="en-US"/>
              </w:rPr>
              <w:t xml:space="preserve"> </w:t>
            </w:r>
            <w:proofErr w:type="spellStart"/>
            <w:r>
              <w:rPr>
                <w:rFonts w:ascii="Verdana" w:hAnsi="Verdana"/>
                <w:lang w:val="en-US"/>
              </w:rPr>
              <w:t>Vucic</w:t>
            </w:r>
            <w:proofErr w:type="spellEnd"/>
            <w:r>
              <w:rPr>
                <w:rFonts w:ascii="Verdana" w:hAnsi="Verdana"/>
                <w:lang w:val="en-US"/>
              </w:rPr>
              <w:t xml:space="preserve"> is certain that this year Serbia will emerge from reces</w:t>
            </w:r>
            <w:r>
              <w:rPr>
                <w:rFonts w:ascii="Verdana" w:hAnsi="Verdana"/>
                <w:lang w:val="en-US"/>
              </w:rPr>
              <w:softHyphen/>
              <w:t xml:space="preserve">sion, and that in 2016 Serbia will be one of the most successful countries in the region. </w:t>
            </w:r>
            <w:proofErr w:type="spellStart"/>
            <w:r>
              <w:rPr>
                <w:rFonts w:ascii="Verdana" w:hAnsi="Verdana"/>
                <w:lang w:val="en-US"/>
              </w:rPr>
              <w:t>Vucic</w:t>
            </w:r>
            <w:proofErr w:type="spellEnd"/>
            <w:r>
              <w:rPr>
                <w:rFonts w:ascii="Verdana" w:hAnsi="Verdana"/>
                <w:lang w:val="en-US"/>
              </w:rPr>
              <w:t xml:space="preserve"> said in his address at the Reality Check conference organized by the Foreign Investors Council (FIC) that if the interest rates, which had to be paid in the previous period, were excluded, Serbia would have had a budget surplus after many years. “If we exclude the paying of interest rates in the first four months, budget surplus stands at RSD 32.4bn,” </w:t>
            </w:r>
            <w:proofErr w:type="spellStart"/>
            <w:r>
              <w:rPr>
                <w:rFonts w:ascii="Verdana" w:hAnsi="Verdana"/>
                <w:lang w:val="en-US"/>
              </w:rPr>
              <w:t>Vucic</w:t>
            </w:r>
            <w:proofErr w:type="spellEnd"/>
            <w:r>
              <w:rPr>
                <w:rFonts w:ascii="Verdana" w:hAnsi="Verdana"/>
                <w:lang w:val="en-US"/>
              </w:rPr>
              <w:t xml:space="preserve"> said. As for Serbia's economic growth, </w:t>
            </w:r>
            <w:proofErr w:type="spellStart"/>
            <w:r>
              <w:rPr>
                <w:rFonts w:ascii="Verdana" w:hAnsi="Verdana"/>
                <w:lang w:val="en-US"/>
              </w:rPr>
              <w:t>Vucic</w:t>
            </w:r>
            <w:proofErr w:type="spellEnd"/>
            <w:r>
              <w:rPr>
                <w:rFonts w:ascii="Verdana" w:hAnsi="Verdana"/>
                <w:lang w:val="en-US"/>
              </w:rPr>
              <w:t xml:space="preserve"> noted that he expects that it will go to zero percent at the end of the year from the initially forecasted minus one percent, and then minus 0.5%. “We will not be in recession, I am certain that we will emerge from it as early as in 2015, and that in 2016 Serbia will be one of the most successful countries in the region,” </w:t>
            </w:r>
            <w:proofErr w:type="spellStart"/>
            <w:r>
              <w:rPr>
                <w:rFonts w:ascii="Verdana" w:hAnsi="Verdana"/>
                <w:lang w:val="en-US"/>
              </w:rPr>
              <w:t>Vucic</w:t>
            </w:r>
            <w:proofErr w:type="spellEnd"/>
            <w:r>
              <w:rPr>
                <w:rFonts w:ascii="Verdana" w:hAnsi="Verdana"/>
                <w:lang w:val="en-US"/>
              </w:rPr>
              <w:t xml:space="preserve"> said. The prime minister underlined that the Serbi</w:t>
            </w:r>
            <w:r>
              <w:rPr>
                <w:rFonts w:ascii="Verdana" w:hAnsi="Verdana"/>
                <w:lang w:val="en-US"/>
              </w:rPr>
              <w:softHyphen/>
              <w:t>an government will continue to implement the program with the IMF since that is good for our country.</w:t>
            </w:r>
          </w:p>
          <w:p w:rsidR="00574D84" w:rsidRDefault="00574D84">
            <w:pPr>
              <w:jc w:val="both"/>
              <w:rPr>
                <w:sz w:val="16"/>
                <w:szCs w:val="16"/>
              </w:rPr>
            </w:pPr>
            <w:r>
              <w:rPr>
                <w:rFonts w:ascii="Verdana" w:hAnsi="Verdana"/>
                <w:lang w:val="en-US"/>
              </w:rPr>
              <w:t xml:space="preserve">Source: </w:t>
            </w:r>
            <w:proofErr w:type="spellStart"/>
            <w:r>
              <w:rPr>
                <w:rFonts w:ascii="Verdana" w:hAnsi="Verdana"/>
                <w:lang w:val="en-US"/>
              </w:rPr>
              <w:t>Tanjug</w:t>
            </w:r>
            <w:proofErr w:type="spellEnd"/>
          </w:p>
        </w:tc>
      </w:tr>
      <w:tr w:rsidR="00574D84" w:rsidTr="00574D84">
        <w:trPr>
          <w:trHeight w:val="108"/>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gridSpan w:val="8"/>
            <w:vMerge/>
            <w:vAlign w:val="center"/>
            <w:hideMark/>
          </w:tcPr>
          <w:p w:rsidR="00574D84" w:rsidRDefault="00574D84">
            <w:pPr>
              <w:rPr>
                <w:sz w:val="16"/>
                <w:szCs w:val="16"/>
              </w:rPr>
            </w:pPr>
          </w:p>
        </w:tc>
      </w:tr>
      <w:tr w:rsidR="00574D84" w:rsidTr="00574D84">
        <w:trPr>
          <w:trHeight w:val="24"/>
          <w:tblCellSpacing w:w="0" w:type="dxa"/>
        </w:trPr>
        <w:tc>
          <w:tcPr>
            <w:tcW w:w="6" w:type="dxa"/>
            <w:vAlign w:val="center"/>
            <w:hideMark/>
          </w:tcPr>
          <w:p w:rsidR="00574D84" w:rsidRDefault="00574D84">
            <w:pPr>
              <w:rPr>
                <w:rFonts w:asciiTheme="minorHAnsi" w:hAnsiTheme="minorHAnsi" w:cstheme="minorBidi"/>
                <w:color w:val="auto"/>
              </w:rPr>
            </w:pPr>
          </w:p>
        </w:tc>
        <w:tc>
          <w:tcPr>
            <w:tcW w:w="12" w:type="dxa"/>
            <w:vMerge w:val="restart"/>
            <w:hideMark/>
          </w:tcPr>
          <w:p w:rsidR="00574D84" w:rsidRDefault="00574D84">
            <w:pPr>
              <w:spacing w:line="24" w:lineRule="atLeast"/>
              <w:rPr>
                <w:rFonts w:eastAsia="Times New Roman"/>
                <w:color w:val="auto"/>
                <w:sz w:val="24"/>
                <w:szCs w:val="24"/>
              </w:rPr>
            </w:pPr>
            <w:r>
              <w:rPr>
                <w:rFonts w:eastAsia="Times New Roman"/>
                <w:noProof/>
                <w:color w:val="auto"/>
                <w:sz w:val="24"/>
                <w:szCs w:val="24"/>
                <w:lang w:eastAsia="bg-BG"/>
              </w:rPr>
              <w:drawing>
                <wp:inline distT="0" distB="0" distL="0" distR="0">
                  <wp:extent cx="10795" cy="1240790"/>
                  <wp:effectExtent l="19050" t="0" r="8255" b="0"/>
                  <wp:docPr id="5" name="Картина 5" descr="cid:image003.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08968.C0826700"/>
                          <pic:cNvPicPr>
                            <a:picLocks noChangeAspect="1" noChangeArrowheads="1"/>
                          </pic:cNvPicPr>
                        </pic:nvPicPr>
                        <pic:blipFill>
                          <a:blip r:embed="rId8" r:link="rId9"/>
                          <a:srcRect/>
                          <a:stretch>
                            <a:fillRect/>
                          </a:stretch>
                        </pic:blipFill>
                        <pic:spPr bwMode="auto">
                          <a:xfrm>
                            <a:off x="0" y="0"/>
                            <a:ext cx="10795" cy="1240790"/>
                          </a:xfrm>
                          <a:prstGeom prst="rect">
                            <a:avLst/>
                          </a:prstGeom>
                          <a:noFill/>
                          <a:ln w="9525">
                            <a:noFill/>
                            <a:miter lim="800000"/>
                            <a:headEnd/>
                            <a:tailEnd/>
                          </a:ln>
                        </pic:spPr>
                      </pic:pic>
                    </a:graphicData>
                  </a:graphic>
                </wp:inline>
              </w:drawing>
            </w:r>
          </w:p>
        </w:tc>
        <w:tc>
          <w:tcPr>
            <w:tcW w:w="8052" w:type="dxa"/>
            <w:gridSpan w:val="7"/>
            <w:hideMark/>
          </w:tcPr>
          <w:p w:rsidR="00574D84" w:rsidRDefault="00574D84">
            <w:pPr>
              <w:rPr>
                <w:rFonts w:asciiTheme="minorHAnsi" w:hAnsiTheme="minorHAnsi" w:cstheme="minorBidi"/>
                <w:color w:val="auto"/>
              </w:rPr>
            </w:pPr>
          </w:p>
        </w:tc>
      </w:tr>
      <w:tr w:rsidR="00574D84" w:rsidTr="00574D84">
        <w:trPr>
          <w:trHeight w:val="1380"/>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vMerge/>
            <w:vAlign w:val="center"/>
            <w:hideMark/>
          </w:tcPr>
          <w:p w:rsidR="00574D84" w:rsidRDefault="00574D84">
            <w:pPr>
              <w:rPr>
                <w:rFonts w:eastAsia="Times New Roman"/>
                <w:color w:val="auto"/>
                <w:sz w:val="24"/>
                <w:szCs w:val="24"/>
              </w:rPr>
            </w:pPr>
          </w:p>
        </w:tc>
        <w:tc>
          <w:tcPr>
            <w:tcW w:w="12" w:type="dxa"/>
            <w:vMerge w:val="restart"/>
            <w:hideMark/>
          </w:tcPr>
          <w:p w:rsidR="00574D84" w:rsidRDefault="00574D84">
            <w:pPr>
              <w:rPr>
                <w:rFonts w:asciiTheme="minorHAnsi" w:hAnsiTheme="minorHAnsi" w:cstheme="minorBidi"/>
                <w:color w:val="auto"/>
              </w:rPr>
            </w:pPr>
          </w:p>
        </w:tc>
        <w:tc>
          <w:tcPr>
            <w:tcW w:w="8016" w:type="dxa"/>
            <w:gridSpan w:val="4"/>
            <w:vMerge w:val="restart"/>
            <w:hideMark/>
          </w:tcPr>
          <w:p w:rsidR="00574D84" w:rsidRDefault="00574D84">
            <w:pPr>
              <w:jc w:val="both"/>
              <w:rPr>
                <w:rFonts w:ascii="Times New Roman" w:hAnsi="Times New Roman" w:cs="Times New Roman"/>
                <w:sz w:val="16"/>
                <w:szCs w:val="16"/>
              </w:rPr>
            </w:pPr>
            <w:r>
              <w:rPr>
                <w:rFonts w:ascii="Verdana" w:hAnsi="Verdana"/>
                <w:b/>
                <w:bCs w:val="0"/>
                <w:lang w:val="en-US"/>
              </w:rPr>
              <w:t>Serbia sells RSD 2.79bn (EUR 23.1m) in 3-mo T-bills</w:t>
            </w:r>
          </w:p>
          <w:p w:rsidR="00574D84" w:rsidRDefault="00574D84">
            <w:pPr>
              <w:jc w:val="both"/>
            </w:pPr>
            <w:r>
              <w:rPr>
                <w:rFonts w:ascii="Verdana" w:hAnsi="Verdana"/>
                <w:lang w:val="en-US"/>
              </w:rPr>
              <w:t>Serbia sold on Thursday RSD 2.79bn (EUR 23.1m) in three-month Treasury bills, equal to 92.92% of its offer, the finance ministry's treasury department said. The treasury department said in a statement it sold the T-bills at an annual yield of 5.63%, down from the 6.45% achieved at the previous three-month T-bills auction held on April 16</w:t>
            </w:r>
            <w:r>
              <w:rPr>
                <w:rFonts w:ascii="Verdana" w:hAnsi="Verdana"/>
                <w:sz w:val="10"/>
                <w:szCs w:val="10"/>
                <w:vertAlign w:val="superscript"/>
                <w:lang w:val="en-US"/>
              </w:rPr>
              <w:t>th</w:t>
            </w:r>
            <w:r>
              <w:rPr>
                <w:rFonts w:ascii="Verdana" w:hAnsi="Verdana"/>
                <w:lang w:val="en-US"/>
              </w:rPr>
              <w:t>. The government paper will mature on Au</w:t>
            </w:r>
            <w:r>
              <w:rPr>
                <w:rFonts w:ascii="Verdana" w:hAnsi="Verdana"/>
                <w:lang w:val="en-US"/>
              </w:rPr>
              <w:softHyphen/>
              <w:t>gust 6</w:t>
            </w:r>
            <w:r>
              <w:rPr>
                <w:rFonts w:ascii="Verdana" w:hAnsi="Verdana"/>
                <w:sz w:val="10"/>
                <w:szCs w:val="10"/>
                <w:vertAlign w:val="superscript"/>
                <w:lang w:val="en-US"/>
              </w:rPr>
              <w:t>th</w:t>
            </w:r>
            <w:r>
              <w:rPr>
                <w:rFonts w:ascii="Verdana" w:hAnsi="Verdana"/>
                <w:lang w:val="en-US"/>
              </w:rPr>
              <w:t>, 2015.</w:t>
            </w:r>
          </w:p>
          <w:p w:rsidR="00574D84" w:rsidRDefault="00574D84">
            <w:pPr>
              <w:jc w:val="both"/>
              <w:rPr>
                <w:sz w:val="16"/>
                <w:szCs w:val="16"/>
              </w:rPr>
            </w:pPr>
            <w:r>
              <w:rPr>
                <w:rFonts w:ascii="Verdana" w:hAnsi="Verdana"/>
                <w:lang w:val="en-US"/>
              </w:rPr>
              <w:t xml:space="preserve">Source: </w:t>
            </w:r>
            <w:proofErr w:type="spellStart"/>
            <w:r>
              <w:rPr>
                <w:rFonts w:ascii="Verdana" w:hAnsi="Verdana"/>
                <w:lang w:val="en-US"/>
              </w:rPr>
              <w:t>SeeNews</w:t>
            </w:r>
            <w:proofErr w:type="spellEnd"/>
          </w:p>
        </w:tc>
        <w:tc>
          <w:tcPr>
            <w:tcW w:w="24" w:type="dxa"/>
            <w:gridSpan w:val="2"/>
            <w:vMerge w:val="restart"/>
            <w:hideMark/>
          </w:tcPr>
          <w:p w:rsidR="00574D84" w:rsidRDefault="00574D84">
            <w:pPr>
              <w:rPr>
                <w:rFonts w:asciiTheme="minorHAnsi" w:hAnsiTheme="minorHAnsi" w:cstheme="minorBidi"/>
                <w:color w:val="auto"/>
              </w:rPr>
            </w:pPr>
          </w:p>
        </w:tc>
      </w:tr>
      <w:tr w:rsidR="00574D84" w:rsidTr="00574D84">
        <w:trPr>
          <w:trHeight w:val="156"/>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vMerge/>
            <w:vAlign w:val="center"/>
            <w:hideMark/>
          </w:tcPr>
          <w:p w:rsidR="00574D84" w:rsidRDefault="00574D84">
            <w:pPr>
              <w:rPr>
                <w:rFonts w:eastAsia="Times New Roman"/>
                <w:color w:val="auto"/>
                <w:sz w:val="24"/>
                <w:szCs w:val="24"/>
              </w:rPr>
            </w:pPr>
          </w:p>
        </w:tc>
        <w:tc>
          <w:tcPr>
            <w:tcW w:w="0" w:type="auto"/>
            <w:vMerge/>
            <w:vAlign w:val="center"/>
            <w:hideMark/>
          </w:tcPr>
          <w:p w:rsidR="00574D84" w:rsidRDefault="00574D84">
            <w:pPr>
              <w:rPr>
                <w:rFonts w:asciiTheme="minorHAnsi" w:hAnsiTheme="minorHAnsi" w:cstheme="minorBidi"/>
                <w:color w:val="auto"/>
              </w:rPr>
            </w:pPr>
          </w:p>
        </w:tc>
        <w:tc>
          <w:tcPr>
            <w:tcW w:w="0" w:type="auto"/>
            <w:gridSpan w:val="4"/>
            <w:vMerge/>
            <w:vAlign w:val="center"/>
            <w:hideMark/>
          </w:tcPr>
          <w:p w:rsidR="00574D84" w:rsidRDefault="00574D84">
            <w:pPr>
              <w:rPr>
                <w:sz w:val="16"/>
                <w:szCs w:val="16"/>
              </w:rPr>
            </w:pPr>
          </w:p>
        </w:tc>
        <w:tc>
          <w:tcPr>
            <w:tcW w:w="0" w:type="auto"/>
            <w:gridSpan w:val="2"/>
            <w:vMerge/>
            <w:vAlign w:val="center"/>
            <w:hideMark/>
          </w:tcPr>
          <w:p w:rsidR="00574D84" w:rsidRDefault="00574D84">
            <w:pPr>
              <w:rPr>
                <w:rFonts w:asciiTheme="minorHAnsi" w:hAnsiTheme="minorHAnsi" w:cstheme="minorBidi"/>
                <w:color w:val="auto"/>
              </w:rPr>
            </w:pPr>
          </w:p>
        </w:tc>
      </w:tr>
      <w:tr w:rsidR="00574D84" w:rsidTr="00574D84">
        <w:trPr>
          <w:trHeight w:val="192"/>
          <w:tblCellSpacing w:w="0" w:type="dxa"/>
        </w:trPr>
        <w:tc>
          <w:tcPr>
            <w:tcW w:w="6" w:type="dxa"/>
            <w:vAlign w:val="center"/>
            <w:hideMark/>
          </w:tcPr>
          <w:p w:rsidR="00574D84" w:rsidRDefault="00574D84">
            <w:pPr>
              <w:rPr>
                <w:rFonts w:asciiTheme="minorHAnsi" w:hAnsiTheme="minorHAnsi" w:cstheme="minorBidi"/>
                <w:color w:val="auto"/>
              </w:rPr>
            </w:pPr>
          </w:p>
        </w:tc>
        <w:tc>
          <w:tcPr>
            <w:tcW w:w="24" w:type="dxa"/>
            <w:gridSpan w:val="2"/>
            <w:hideMark/>
          </w:tcPr>
          <w:p w:rsidR="00574D84" w:rsidRDefault="00574D84">
            <w:pPr>
              <w:rPr>
                <w:rFonts w:asciiTheme="minorHAnsi" w:hAnsiTheme="minorHAnsi" w:cstheme="minorBidi"/>
                <w:color w:val="auto"/>
              </w:rPr>
            </w:pPr>
          </w:p>
        </w:tc>
        <w:tc>
          <w:tcPr>
            <w:tcW w:w="0" w:type="auto"/>
            <w:gridSpan w:val="4"/>
            <w:vMerge/>
            <w:vAlign w:val="center"/>
            <w:hideMark/>
          </w:tcPr>
          <w:p w:rsidR="00574D84" w:rsidRDefault="00574D84">
            <w:pPr>
              <w:rPr>
                <w:sz w:val="16"/>
                <w:szCs w:val="16"/>
              </w:rPr>
            </w:pPr>
          </w:p>
        </w:tc>
        <w:tc>
          <w:tcPr>
            <w:tcW w:w="0" w:type="auto"/>
            <w:gridSpan w:val="2"/>
            <w:vMerge/>
            <w:vAlign w:val="center"/>
            <w:hideMark/>
          </w:tcPr>
          <w:p w:rsidR="00574D84" w:rsidRDefault="00574D84">
            <w:pPr>
              <w:rPr>
                <w:rFonts w:asciiTheme="minorHAnsi" w:hAnsiTheme="minorHAnsi" w:cstheme="minorBidi"/>
                <w:color w:val="auto"/>
              </w:rPr>
            </w:pPr>
          </w:p>
        </w:tc>
      </w:tr>
      <w:tr w:rsidR="00574D84" w:rsidTr="00574D84">
        <w:trPr>
          <w:trHeight w:val="24"/>
          <w:tblCellSpacing w:w="0" w:type="dxa"/>
        </w:trPr>
        <w:tc>
          <w:tcPr>
            <w:tcW w:w="6" w:type="dxa"/>
            <w:vAlign w:val="center"/>
            <w:hideMark/>
          </w:tcPr>
          <w:p w:rsidR="00574D84" w:rsidRDefault="00574D84">
            <w:pPr>
              <w:rPr>
                <w:rFonts w:asciiTheme="minorHAnsi" w:hAnsiTheme="minorHAnsi" w:cstheme="minorBidi"/>
                <w:color w:val="auto"/>
              </w:rPr>
            </w:pPr>
          </w:p>
        </w:tc>
        <w:tc>
          <w:tcPr>
            <w:tcW w:w="12" w:type="dxa"/>
            <w:vMerge w:val="restart"/>
            <w:hideMark/>
          </w:tcPr>
          <w:p w:rsidR="00574D84" w:rsidRDefault="00574D84">
            <w:pPr>
              <w:spacing w:line="24" w:lineRule="atLeast"/>
              <w:rPr>
                <w:rFonts w:eastAsia="Times New Roman"/>
                <w:color w:val="auto"/>
                <w:sz w:val="24"/>
                <w:szCs w:val="24"/>
              </w:rPr>
            </w:pPr>
            <w:r>
              <w:rPr>
                <w:rFonts w:eastAsia="Times New Roman"/>
                <w:noProof/>
                <w:color w:val="auto"/>
                <w:sz w:val="24"/>
                <w:szCs w:val="24"/>
                <w:lang w:eastAsia="bg-BG"/>
              </w:rPr>
              <w:drawing>
                <wp:inline distT="0" distB="0" distL="0" distR="0">
                  <wp:extent cx="10795" cy="250190"/>
                  <wp:effectExtent l="19050" t="0" r="8255" b="0"/>
                  <wp:docPr id="6" name="Картина 6" descr="cid:image004.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08968.C0826700"/>
                          <pic:cNvPicPr>
                            <a:picLocks noChangeAspect="1" noChangeArrowheads="1"/>
                          </pic:cNvPicPr>
                        </pic:nvPicPr>
                        <pic:blipFill>
                          <a:blip r:embed="rId10" r:link="rId11"/>
                          <a:srcRect/>
                          <a:stretch>
                            <a:fillRect/>
                          </a:stretch>
                        </pic:blipFill>
                        <pic:spPr bwMode="auto">
                          <a:xfrm>
                            <a:off x="0" y="0"/>
                            <a:ext cx="10795" cy="250190"/>
                          </a:xfrm>
                          <a:prstGeom prst="rect">
                            <a:avLst/>
                          </a:prstGeom>
                          <a:noFill/>
                          <a:ln w="9525">
                            <a:noFill/>
                            <a:miter lim="800000"/>
                            <a:headEnd/>
                            <a:tailEnd/>
                          </a:ln>
                        </pic:spPr>
                      </pic:pic>
                    </a:graphicData>
                  </a:graphic>
                </wp:inline>
              </w:drawing>
            </w:r>
          </w:p>
        </w:tc>
        <w:tc>
          <w:tcPr>
            <w:tcW w:w="12" w:type="dxa"/>
            <w:hideMark/>
          </w:tcPr>
          <w:p w:rsidR="00574D84" w:rsidRDefault="00574D84">
            <w:pPr>
              <w:rPr>
                <w:rFonts w:asciiTheme="minorHAnsi" w:hAnsiTheme="minorHAnsi" w:cstheme="minorBidi"/>
                <w:color w:val="auto"/>
              </w:rPr>
            </w:pPr>
          </w:p>
        </w:tc>
        <w:tc>
          <w:tcPr>
            <w:tcW w:w="0" w:type="auto"/>
            <w:gridSpan w:val="4"/>
            <w:vMerge/>
            <w:vAlign w:val="center"/>
            <w:hideMark/>
          </w:tcPr>
          <w:p w:rsidR="00574D84" w:rsidRDefault="00574D84">
            <w:pPr>
              <w:rPr>
                <w:sz w:val="16"/>
                <w:szCs w:val="16"/>
              </w:rPr>
            </w:pPr>
          </w:p>
        </w:tc>
        <w:tc>
          <w:tcPr>
            <w:tcW w:w="0" w:type="auto"/>
            <w:gridSpan w:val="2"/>
            <w:vMerge/>
            <w:vAlign w:val="center"/>
            <w:hideMark/>
          </w:tcPr>
          <w:p w:rsidR="00574D84" w:rsidRDefault="00574D84">
            <w:pPr>
              <w:rPr>
                <w:rFonts w:asciiTheme="minorHAnsi" w:hAnsiTheme="minorHAnsi" w:cstheme="minorBidi"/>
                <w:color w:val="auto"/>
              </w:rPr>
            </w:pPr>
          </w:p>
        </w:tc>
      </w:tr>
      <w:tr w:rsidR="00574D84" w:rsidTr="00574D84">
        <w:trPr>
          <w:trHeight w:val="288"/>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vMerge/>
            <w:vAlign w:val="center"/>
            <w:hideMark/>
          </w:tcPr>
          <w:p w:rsidR="00574D84" w:rsidRDefault="00574D84">
            <w:pPr>
              <w:rPr>
                <w:rFonts w:eastAsia="Times New Roman"/>
                <w:color w:val="auto"/>
                <w:sz w:val="24"/>
                <w:szCs w:val="24"/>
              </w:rPr>
            </w:pPr>
          </w:p>
        </w:tc>
        <w:tc>
          <w:tcPr>
            <w:tcW w:w="2028" w:type="dxa"/>
            <w:gridSpan w:val="2"/>
            <w:vMerge w:val="restart"/>
            <w:hideMark/>
          </w:tcPr>
          <w:p w:rsidR="00574D84" w:rsidRDefault="00574D84">
            <w:pPr>
              <w:pStyle w:val="msoaccenttext2"/>
              <w:spacing w:after="0" w:line="268" w:lineRule="auto"/>
              <w:jc w:val="both"/>
              <w:rPr>
                <w:lang w:eastAsia="en-US"/>
              </w:rPr>
            </w:pPr>
            <w:r>
              <w:rPr>
                <w:rFonts w:ascii="Verdana" w:hAnsi="Verdana"/>
                <w:b/>
                <w:bCs/>
                <w:sz w:val="16"/>
                <w:szCs w:val="16"/>
                <w:lang w:val="sr-Latn-CS" w:eastAsia="en-US"/>
              </w:rPr>
              <w:t>Economy</w:t>
            </w:r>
          </w:p>
        </w:tc>
        <w:tc>
          <w:tcPr>
            <w:tcW w:w="6024" w:type="dxa"/>
            <w:gridSpan w:val="5"/>
            <w:vMerge w:val="restart"/>
            <w:hideMark/>
          </w:tcPr>
          <w:p w:rsidR="00574D84" w:rsidRDefault="00574D84">
            <w:pPr>
              <w:rPr>
                <w:rFonts w:asciiTheme="minorHAnsi" w:hAnsiTheme="minorHAnsi" w:cstheme="minorBidi"/>
                <w:color w:val="auto"/>
              </w:rPr>
            </w:pPr>
          </w:p>
        </w:tc>
      </w:tr>
      <w:tr w:rsidR="00574D84" w:rsidTr="00574D84">
        <w:trPr>
          <w:trHeight w:val="216"/>
          <w:tblCellSpacing w:w="0" w:type="dxa"/>
        </w:trPr>
        <w:tc>
          <w:tcPr>
            <w:tcW w:w="6" w:type="dxa"/>
            <w:vAlign w:val="center"/>
            <w:hideMark/>
          </w:tcPr>
          <w:p w:rsidR="00574D84" w:rsidRDefault="00574D84">
            <w:pPr>
              <w:rPr>
                <w:rFonts w:asciiTheme="minorHAnsi" w:hAnsiTheme="minorHAnsi" w:cstheme="minorBidi"/>
                <w:color w:val="auto"/>
              </w:rPr>
            </w:pPr>
          </w:p>
        </w:tc>
        <w:tc>
          <w:tcPr>
            <w:tcW w:w="12" w:type="dxa"/>
            <w:hideMark/>
          </w:tcPr>
          <w:p w:rsidR="00574D84" w:rsidRDefault="00574D84">
            <w:pPr>
              <w:rPr>
                <w:rFonts w:asciiTheme="minorHAnsi" w:hAnsiTheme="minorHAnsi" w:cstheme="minorBidi"/>
                <w:color w:val="auto"/>
              </w:rPr>
            </w:pPr>
          </w:p>
        </w:tc>
        <w:tc>
          <w:tcPr>
            <w:tcW w:w="0" w:type="auto"/>
            <w:gridSpan w:val="2"/>
            <w:vMerge/>
            <w:vAlign w:val="center"/>
            <w:hideMark/>
          </w:tcPr>
          <w:p w:rsidR="00574D84" w:rsidRDefault="00574D84">
            <w:pPr>
              <w:rPr>
                <w:rFonts w:ascii="Trebuchet MS" w:hAnsi="Trebuchet MS"/>
                <w:sz w:val="12"/>
                <w:szCs w:val="12"/>
              </w:rPr>
            </w:pPr>
          </w:p>
        </w:tc>
        <w:tc>
          <w:tcPr>
            <w:tcW w:w="0" w:type="auto"/>
            <w:gridSpan w:val="5"/>
            <w:vMerge/>
            <w:vAlign w:val="center"/>
            <w:hideMark/>
          </w:tcPr>
          <w:p w:rsidR="00574D84" w:rsidRDefault="00574D84">
            <w:pPr>
              <w:rPr>
                <w:rFonts w:asciiTheme="minorHAnsi" w:hAnsiTheme="minorHAnsi" w:cstheme="minorBidi"/>
                <w:color w:val="auto"/>
              </w:rPr>
            </w:pPr>
          </w:p>
        </w:tc>
      </w:tr>
      <w:tr w:rsidR="00574D84" w:rsidTr="00574D84">
        <w:trPr>
          <w:trHeight w:val="120"/>
          <w:tblCellSpacing w:w="0" w:type="dxa"/>
        </w:trPr>
        <w:tc>
          <w:tcPr>
            <w:tcW w:w="6" w:type="dxa"/>
            <w:vAlign w:val="center"/>
            <w:hideMark/>
          </w:tcPr>
          <w:p w:rsidR="00574D84" w:rsidRDefault="00574D84">
            <w:pPr>
              <w:rPr>
                <w:rFonts w:asciiTheme="minorHAnsi" w:hAnsiTheme="minorHAnsi" w:cstheme="minorBidi"/>
                <w:color w:val="auto"/>
              </w:rPr>
            </w:pPr>
          </w:p>
        </w:tc>
        <w:tc>
          <w:tcPr>
            <w:tcW w:w="8052" w:type="dxa"/>
            <w:gridSpan w:val="7"/>
            <w:hideMark/>
          </w:tcPr>
          <w:p w:rsidR="00574D84" w:rsidRDefault="00574D84">
            <w:pPr>
              <w:spacing w:line="120" w:lineRule="atLeast"/>
              <w:rPr>
                <w:rFonts w:eastAsia="Times New Roman"/>
                <w:color w:val="auto"/>
                <w:sz w:val="24"/>
                <w:szCs w:val="24"/>
              </w:rPr>
            </w:pPr>
            <w:r>
              <w:rPr>
                <w:rFonts w:eastAsia="Times New Roman"/>
                <w:noProof/>
                <w:color w:val="auto"/>
                <w:sz w:val="24"/>
                <w:szCs w:val="24"/>
                <w:lang w:eastAsia="bg-BG"/>
              </w:rPr>
              <w:drawing>
                <wp:inline distT="0" distB="0" distL="0" distR="0">
                  <wp:extent cx="6395085" cy="97790"/>
                  <wp:effectExtent l="19050" t="0" r="5715" b="0"/>
                  <wp:docPr id="7" name="Картина 7" descr="cid:image005.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08968.C0826700"/>
                          <pic:cNvPicPr>
                            <a:picLocks noChangeAspect="1" noChangeArrowheads="1"/>
                          </pic:cNvPicPr>
                        </pic:nvPicPr>
                        <pic:blipFill>
                          <a:blip r:embed="rId6" r:link="rId12"/>
                          <a:srcRect/>
                          <a:stretch>
                            <a:fillRect/>
                          </a:stretch>
                        </pic:blipFill>
                        <pic:spPr bwMode="auto">
                          <a:xfrm>
                            <a:off x="0" y="0"/>
                            <a:ext cx="6395085" cy="97790"/>
                          </a:xfrm>
                          <a:prstGeom prst="rect">
                            <a:avLst/>
                          </a:prstGeom>
                          <a:noFill/>
                          <a:ln w="9525">
                            <a:noFill/>
                            <a:miter lim="800000"/>
                            <a:headEnd/>
                            <a:tailEnd/>
                          </a:ln>
                        </pic:spPr>
                      </pic:pic>
                    </a:graphicData>
                  </a:graphic>
                </wp:inline>
              </w:drawing>
            </w:r>
          </w:p>
        </w:tc>
        <w:tc>
          <w:tcPr>
            <w:tcW w:w="12" w:type="dxa"/>
            <w:hideMark/>
          </w:tcPr>
          <w:p w:rsidR="00574D84" w:rsidRDefault="00574D84">
            <w:pPr>
              <w:rPr>
                <w:rFonts w:asciiTheme="minorHAnsi" w:hAnsiTheme="minorHAnsi" w:cstheme="minorBidi"/>
                <w:color w:val="auto"/>
              </w:rPr>
            </w:pPr>
          </w:p>
        </w:tc>
      </w:tr>
      <w:tr w:rsidR="00574D84" w:rsidTr="00574D84">
        <w:trPr>
          <w:trHeight w:val="276"/>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hideMark/>
          </w:tcPr>
          <w:p w:rsidR="00574D84" w:rsidRDefault="00574D84">
            <w:pPr>
              <w:rPr>
                <w:rFonts w:asciiTheme="minorHAnsi" w:hAnsiTheme="minorHAnsi" w:cstheme="minorBidi"/>
                <w:color w:val="auto"/>
              </w:rPr>
            </w:pPr>
          </w:p>
        </w:tc>
      </w:tr>
      <w:tr w:rsidR="00574D84" w:rsidTr="00574D84">
        <w:trPr>
          <w:trHeight w:val="2136"/>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vMerge w:val="restart"/>
            <w:hideMark/>
          </w:tcPr>
          <w:p w:rsidR="00574D84" w:rsidRDefault="00574D84">
            <w:pPr>
              <w:jc w:val="both"/>
              <w:rPr>
                <w:rFonts w:ascii="Times New Roman" w:hAnsi="Times New Roman" w:cs="Times New Roman"/>
                <w:sz w:val="16"/>
                <w:szCs w:val="16"/>
              </w:rPr>
            </w:pPr>
            <w:r>
              <w:rPr>
                <w:rFonts w:ascii="Verdana" w:hAnsi="Verdana"/>
                <w:b/>
                <w:bCs w:val="0"/>
              </w:rPr>
              <w:t xml:space="preserve">DNOS: </w:t>
            </w:r>
            <w:r>
              <w:rPr>
                <w:rFonts w:ascii="Verdana" w:hAnsi="Verdana"/>
                <w:b/>
                <w:bCs w:val="0"/>
                <w:lang w:val="en-US"/>
              </w:rPr>
              <w:t xml:space="preserve">Insurer </w:t>
            </w:r>
            <w:proofErr w:type="spellStart"/>
            <w:r>
              <w:rPr>
                <w:rFonts w:ascii="Verdana" w:hAnsi="Verdana"/>
                <w:b/>
                <w:bCs w:val="0"/>
                <w:lang w:val="en-US"/>
              </w:rPr>
              <w:t>Dunav</w:t>
            </w:r>
            <w:proofErr w:type="spellEnd"/>
            <w:r>
              <w:rPr>
                <w:rFonts w:ascii="Verdana" w:hAnsi="Verdana"/>
                <w:b/>
                <w:bCs w:val="0"/>
                <w:lang w:val="en-US"/>
              </w:rPr>
              <w:t xml:space="preserve"> </w:t>
            </w:r>
            <w:proofErr w:type="spellStart"/>
            <w:r>
              <w:rPr>
                <w:rFonts w:ascii="Verdana" w:hAnsi="Verdana"/>
                <w:b/>
                <w:bCs w:val="0"/>
                <w:lang w:val="en-US"/>
              </w:rPr>
              <w:t>Osiguranje’s</w:t>
            </w:r>
            <w:proofErr w:type="spellEnd"/>
            <w:r>
              <w:rPr>
                <w:rFonts w:ascii="Verdana" w:hAnsi="Verdana"/>
                <w:b/>
                <w:bCs w:val="0"/>
                <w:lang w:val="en-US"/>
              </w:rPr>
              <w:t xml:space="preserve"> consolidated net loss shrinks to RSD 3bn in 2014</w:t>
            </w:r>
          </w:p>
          <w:p w:rsidR="00574D84" w:rsidRDefault="00574D84">
            <w:pPr>
              <w:jc w:val="both"/>
            </w:pPr>
            <w:r>
              <w:rPr>
                <w:rFonts w:ascii="Verdana" w:hAnsi="Verdana"/>
                <w:lang w:val="en-US"/>
              </w:rPr>
              <w:t xml:space="preserve">State-owned insurance company </w:t>
            </w:r>
            <w:proofErr w:type="spellStart"/>
            <w:r>
              <w:rPr>
                <w:rFonts w:ascii="Verdana" w:hAnsi="Verdana"/>
                <w:lang w:val="en-US"/>
              </w:rPr>
              <w:t>Dunav</w:t>
            </w:r>
            <w:proofErr w:type="spellEnd"/>
            <w:r>
              <w:rPr>
                <w:rFonts w:ascii="Verdana" w:hAnsi="Verdana"/>
                <w:lang w:val="en-US"/>
              </w:rPr>
              <w:t xml:space="preserve"> </w:t>
            </w:r>
            <w:proofErr w:type="spellStart"/>
            <w:r>
              <w:rPr>
                <w:rFonts w:ascii="Verdana" w:hAnsi="Verdana"/>
                <w:lang w:val="en-US"/>
              </w:rPr>
              <w:t>Osiguranje</w:t>
            </w:r>
            <w:proofErr w:type="spellEnd"/>
            <w:r>
              <w:rPr>
                <w:rFonts w:ascii="Verdana" w:hAnsi="Verdana"/>
                <w:lang w:val="en-US"/>
              </w:rPr>
              <w:t xml:space="preserve"> (DNOS) posted a consolidated net loss of slightly under RSD 3bn in 2014, an improvement on nearly RSD 4.84bn the year before, accord</w:t>
            </w:r>
            <w:r>
              <w:rPr>
                <w:rFonts w:ascii="Verdana" w:hAnsi="Verdana"/>
                <w:lang w:val="en-US"/>
              </w:rPr>
              <w:softHyphen/>
              <w:t xml:space="preserve">ing to the company’s financial report on the Belgrade Stock Exchange (BSE) website. </w:t>
            </w:r>
            <w:proofErr w:type="spellStart"/>
            <w:r>
              <w:rPr>
                <w:rFonts w:ascii="Verdana" w:hAnsi="Verdana"/>
                <w:lang w:val="en-US"/>
              </w:rPr>
              <w:t>Dunav’s</w:t>
            </w:r>
            <w:proofErr w:type="spellEnd"/>
            <w:r>
              <w:rPr>
                <w:rFonts w:ascii="Verdana" w:hAnsi="Verdana"/>
                <w:lang w:val="en-US"/>
              </w:rPr>
              <w:t xml:space="preserve"> consolidated operating revenues stood at RSD 18bn, down from RSD 19.2bn in 2013. </w:t>
            </w:r>
            <w:proofErr w:type="spellStart"/>
            <w:r>
              <w:rPr>
                <w:rFonts w:ascii="Verdana" w:hAnsi="Verdana"/>
                <w:lang w:val="en-US"/>
              </w:rPr>
              <w:t>Dunav</w:t>
            </w:r>
            <w:proofErr w:type="spellEnd"/>
            <w:r>
              <w:rPr>
                <w:rFonts w:ascii="Verdana" w:hAnsi="Verdana"/>
                <w:lang w:val="en-US"/>
              </w:rPr>
              <w:t xml:space="preserve"> has seven subsidiaries, two of which are in </w:t>
            </w:r>
            <w:proofErr w:type="spellStart"/>
            <w:r>
              <w:rPr>
                <w:rFonts w:ascii="Verdana" w:hAnsi="Verdana"/>
                <w:lang w:val="en-US"/>
              </w:rPr>
              <w:t>Banja</w:t>
            </w:r>
            <w:proofErr w:type="spellEnd"/>
            <w:r>
              <w:rPr>
                <w:rFonts w:ascii="Verdana" w:hAnsi="Verdana"/>
                <w:lang w:val="en-US"/>
              </w:rPr>
              <w:t xml:space="preserve"> Luka in the Bosnian Serb entity </w:t>
            </w:r>
            <w:proofErr w:type="spellStart"/>
            <w:r>
              <w:rPr>
                <w:rFonts w:ascii="Verdana" w:hAnsi="Verdana"/>
                <w:lang w:val="en-US"/>
              </w:rPr>
              <w:t>Republika</w:t>
            </w:r>
            <w:proofErr w:type="spellEnd"/>
            <w:r>
              <w:rPr>
                <w:rFonts w:ascii="Verdana" w:hAnsi="Verdana"/>
                <w:lang w:val="en-US"/>
              </w:rPr>
              <w:t xml:space="preserve"> </w:t>
            </w:r>
            <w:proofErr w:type="spellStart"/>
            <w:r>
              <w:rPr>
                <w:rFonts w:ascii="Verdana" w:hAnsi="Verdana"/>
                <w:lang w:val="en-US"/>
              </w:rPr>
              <w:t>Srpska</w:t>
            </w:r>
            <w:proofErr w:type="spellEnd"/>
            <w:r>
              <w:rPr>
                <w:rFonts w:ascii="Verdana" w:hAnsi="Verdana"/>
                <w:lang w:val="en-US"/>
              </w:rPr>
              <w:t xml:space="preserve">, and the rest in Belgrade, including reinsurer </w:t>
            </w:r>
            <w:proofErr w:type="spellStart"/>
            <w:r>
              <w:rPr>
                <w:rFonts w:ascii="Verdana" w:hAnsi="Verdana"/>
                <w:lang w:val="en-US"/>
              </w:rPr>
              <w:t>Dunav</w:t>
            </w:r>
            <w:proofErr w:type="spellEnd"/>
            <w:r>
              <w:rPr>
                <w:rFonts w:ascii="Verdana" w:hAnsi="Verdana"/>
                <w:lang w:val="en-US"/>
              </w:rPr>
              <w:t xml:space="preserve">-Re. </w:t>
            </w:r>
            <w:proofErr w:type="spellStart"/>
            <w:r>
              <w:rPr>
                <w:rFonts w:ascii="Verdana" w:hAnsi="Verdana"/>
                <w:lang w:val="en-US"/>
              </w:rPr>
              <w:t>Dejan</w:t>
            </w:r>
            <w:proofErr w:type="spellEnd"/>
            <w:r>
              <w:rPr>
                <w:rFonts w:ascii="Verdana" w:hAnsi="Verdana"/>
                <w:lang w:val="en-US"/>
              </w:rPr>
              <w:t xml:space="preserve"> </w:t>
            </w:r>
            <w:proofErr w:type="spellStart"/>
            <w:r>
              <w:rPr>
                <w:rFonts w:ascii="Verdana" w:hAnsi="Verdana"/>
                <w:lang w:val="en-US"/>
              </w:rPr>
              <w:t>Hadzic</w:t>
            </w:r>
            <w:proofErr w:type="spellEnd"/>
            <w:r>
              <w:rPr>
                <w:rFonts w:ascii="Verdana" w:hAnsi="Verdana"/>
                <w:lang w:val="en-US"/>
              </w:rPr>
              <w:t xml:space="preserve">, an adviser at the Finance Ministry, said recently that the privatization of </w:t>
            </w:r>
            <w:proofErr w:type="spellStart"/>
            <w:r>
              <w:rPr>
                <w:rFonts w:ascii="Verdana" w:hAnsi="Verdana"/>
                <w:lang w:val="en-US"/>
              </w:rPr>
              <w:t>Dunav</w:t>
            </w:r>
            <w:proofErr w:type="spellEnd"/>
            <w:r>
              <w:rPr>
                <w:rFonts w:ascii="Verdana" w:hAnsi="Verdana"/>
                <w:lang w:val="en-US"/>
              </w:rPr>
              <w:t xml:space="preserve"> </w:t>
            </w:r>
            <w:proofErr w:type="spellStart"/>
            <w:r>
              <w:rPr>
                <w:rFonts w:ascii="Verdana" w:hAnsi="Verdana"/>
                <w:lang w:val="en-US"/>
              </w:rPr>
              <w:t>Osiguranje</w:t>
            </w:r>
            <w:proofErr w:type="spellEnd"/>
            <w:r>
              <w:rPr>
                <w:rFonts w:ascii="Verdana" w:hAnsi="Verdana"/>
                <w:lang w:val="en-US"/>
              </w:rPr>
              <w:t xml:space="preserve"> should begin by the end of this year with the selection of a privatization adviser, according to earlier reports.</w:t>
            </w:r>
          </w:p>
          <w:p w:rsidR="00574D84" w:rsidRDefault="00574D84">
            <w:pPr>
              <w:jc w:val="both"/>
              <w:rPr>
                <w:sz w:val="16"/>
                <w:szCs w:val="16"/>
              </w:rPr>
            </w:pPr>
            <w:r>
              <w:rPr>
                <w:rFonts w:ascii="Verdana" w:hAnsi="Verdana"/>
                <w:lang w:val="en-US"/>
              </w:rPr>
              <w:t>Source: Executive Newsletter</w:t>
            </w:r>
          </w:p>
        </w:tc>
      </w:tr>
      <w:tr w:rsidR="00574D84" w:rsidTr="00574D84">
        <w:trPr>
          <w:trHeight w:val="348"/>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gridSpan w:val="8"/>
            <w:vMerge/>
            <w:vAlign w:val="center"/>
            <w:hideMark/>
          </w:tcPr>
          <w:p w:rsidR="00574D84" w:rsidRDefault="00574D84">
            <w:pPr>
              <w:rPr>
                <w:sz w:val="16"/>
                <w:szCs w:val="16"/>
              </w:rPr>
            </w:pPr>
          </w:p>
        </w:tc>
      </w:tr>
      <w:tr w:rsidR="00574D84" w:rsidTr="00574D84">
        <w:trPr>
          <w:trHeight w:val="1992"/>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vMerge w:val="restart"/>
            <w:hideMark/>
          </w:tcPr>
          <w:p w:rsidR="00574D84" w:rsidRDefault="00574D84">
            <w:pPr>
              <w:jc w:val="both"/>
              <w:rPr>
                <w:rFonts w:ascii="Times New Roman" w:hAnsi="Times New Roman" w:cs="Times New Roman"/>
                <w:sz w:val="16"/>
                <w:szCs w:val="16"/>
              </w:rPr>
            </w:pPr>
            <w:r>
              <w:rPr>
                <w:rFonts w:ascii="Verdana" w:hAnsi="Verdana"/>
                <w:b/>
                <w:bCs w:val="0"/>
                <w:lang w:val="en-US"/>
              </w:rPr>
              <w:t xml:space="preserve">TIGR: </w:t>
            </w:r>
            <w:proofErr w:type="spellStart"/>
            <w:r>
              <w:rPr>
                <w:rFonts w:ascii="Verdana" w:hAnsi="Verdana"/>
                <w:b/>
                <w:bCs w:val="0"/>
                <w:lang w:val="en-US"/>
              </w:rPr>
              <w:t>Tigar</w:t>
            </w:r>
            <w:proofErr w:type="spellEnd"/>
            <w:r>
              <w:rPr>
                <w:rFonts w:ascii="Verdana" w:hAnsi="Verdana"/>
                <w:b/>
                <w:bCs w:val="0"/>
                <w:lang w:val="en-US"/>
              </w:rPr>
              <w:t xml:space="preserve"> reported consolidated net loss of RSD 1.3bn, for FY 2014, up 42% y/y</w:t>
            </w:r>
          </w:p>
          <w:p w:rsidR="00574D84" w:rsidRDefault="00574D84">
            <w:pPr>
              <w:jc w:val="both"/>
            </w:pPr>
            <w:proofErr w:type="spellStart"/>
            <w:r>
              <w:rPr>
                <w:rFonts w:ascii="Verdana" w:hAnsi="Verdana"/>
                <w:lang w:val="en-US"/>
              </w:rPr>
              <w:t>Pirot</w:t>
            </w:r>
            <w:proofErr w:type="spellEnd"/>
            <w:r>
              <w:rPr>
                <w:rFonts w:ascii="Verdana" w:hAnsi="Verdana"/>
                <w:lang w:val="en-US"/>
              </w:rPr>
              <w:t xml:space="preserve">-based rubber applications producer, </w:t>
            </w:r>
            <w:proofErr w:type="spellStart"/>
            <w:r>
              <w:rPr>
                <w:rFonts w:ascii="Verdana" w:hAnsi="Verdana"/>
                <w:lang w:val="en-US"/>
              </w:rPr>
              <w:t>Tigar</w:t>
            </w:r>
            <w:proofErr w:type="spellEnd"/>
            <w:r>
              <w:rPr>
                <w:rFonts w:ascii="Verdana" w:hAnsi="Verdana"/>
                <w:lang w:val="en-US"/>
              </w:rPr>
              <w:t xml:space="preserve"> (TIGR), reported RSD 1.3bn in its FY 2014 consoli</w:t>
            </w:r>
            <w:r>
              <w:rPr>
                <w:rFonts w:ascii="Verdana" w:hAnsi="Verdana"/>
                <w:lang w:val="en-US"/>
              </w:rPr>
              <w:softHyphen/>
              <w:t xml:space="preserve">dated net loss, up 42% y/y on lower sales and higher financial loss. The company’s sales came in at RSD </w:t>
            </w:r>
            <w:proofErr w:type="gramStart"/>
            <w:r>
              <w:rPr>
                <w:rFonts w:ascii="Verdana" w:hAnsi="Verdana"/>
                <w:lang w:val="en-US"/>
              </w:rPr>
              <w:t>1.93bn,</w:t>
            </w:r>
            <w:proofErr w:type="gramEnd"/>
            <w:r>
              <w:rPr>
                <w:rFonts w:ascii="Verdana" w:hAnsi="Verdana"/>
                <w:lang w:val="en-US"/>
              </w:rPr>
              <w:t xml:space="preserve"> down 13% y/y. Export provided 64% of revenues. Operating loss has been re</w:t>
            </w:r>
            <w:r>
              <w:rPr>
                <w:rFonts w:ascii="Verdana" w:hAnsi="Verdana"/>
                <w:lang w:val="en-US"/>
              </w:rPr>
              <w:softHyphen/>
              <w:t>duced from RSD 437.2m in 2013 to current RSD 246.3m. The company’s financial restructuring has been approved, by major creditors, several weeks ago but we still see no material improve</w:t>
            </w:r>
            <w:r>
              <w:rPr>
                <w:rFonts w:ascii="Verdana" w:hAnsi="Verdana"/>
                <w:lang w:val="en-US"/>
              </w:rPr>
              <w:softHyphen/>
              <w:t>ment. Accumulated loss already exceeded size of the company’s equity, while total debt remains high.</w:t>
            </w:r>
          </w:p>
          <w:p w:rsidR="00574D84" w:rsidRDefault="00574D84">
            <w:pPr>
              <w:jc w:val="both"/>
              <w:rPr>
                <w:sz w:val="16"/>
                <w:szCs w:val="16"/>
              </w:rPr>
            </w:pPr>
            <w:r>
              <w:rPr>
                <w:rFonts w:ascii="Verdana" w:hAnsi="Verdana"/>
                <w:lang w:val="en-US"/>
              </w:rPr>
              <w:t xml:space="preserve">Source: </w:t>
            </w:r>
            <w:proofErr w:type="spellStart"/>
            <w:r>
              <w:rPr>
                <w:rFonts w:ascii="Verdana" w:hAnsi="Verdana"/>
                <w:lang w:val="en-US"/>
              </w:rPr>
              <w:t>Belex</w:t>
            </w:r>
            <w:proofErr w:type="spellEnd"/>
            <w:r>
              <w:rPr>
                <w:rFonts w:ascii="Verdana" w:hAnsi="Verdana"/>
                <w:lang w:val="en-US"/>
              </w:rPr>
              <w:t xml:space="preserve">, </w:t>
            </w:r>
            <w:proofErr w:type="spellStart"/>
            <w:r>
              <w:rPr>
                <w:rFonts w:ascii="Verdana" w:hAnsi="Verdana"/>
                <w:lang w:val="en-US"/>
              </w:rPr>
              <w:t>Wisebroker</w:t>
            </w:r>
            <w:proofErr w:type="spellEnd"/>
          </w:p>
        </w:tc>
      </w:tr>
      <w:tr w:rsidR="00574D84" w:rsidTr="00574D84">
        <w:trPr>
          <w:trHeight w:val="348"/>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gridSpan w:val="8"/>
            <w:vMerge/>
            <w:vAlign w:val="center"/>
            <w:hideMark/>
          </w:tcPr>
          <w:p w:rsidR="00574D84" w:rsidRDefault="00574D84">
            <w:pPr>
              <w:rPr>
                <w:sz w:val="16"/>
                <w:szCs w:val="16"/>
              </w:rPr>
            </w:pPr>
          </w:p>
        </w:tc>
      </w:tr>
      <w:tr w:rsidR="00574D84" w:rsidTr="00574D84">
        <w:trPr>
          <w:trHeight w:val="120"/>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hideMark/>
          </w:tcPr>
          <w:p w:rsidR="00574D84" w:rsidRDefault="00574D84">
            <w:pPr>
              <w:spacing w:line="120" w:lineRule="atLeast"/>
              <w:rPr>
                <w:rFonts w:eastAsia="Times New Roman"/>
                <w:color w:val="auto"/>
                <w:sz w:val="24"/>
                <w:szCs w:val="24"/>
              </w:rPr>
            </w:pPr>
            <w:r>
              <w:rPr>
                <w:rFonts w:eastAsia="Times New Roman"/>
                <w:noProof/>
                <w:color w:val="auto"/>
                <w:sz w:val="24"/>
                <w:szCs w:val="24"/>
                <w:lang w:eastAsia="bg-BG"/>
              </w:rPr>
              <w:drawing>
                <wp:inline distT="0" distB="0" distL="0" distR="0">
                  <wp:extent cx="6400800" cy="97790"/>
                  <wp:effectExtent l="19050" t="0" r="0" b="0"/>
                  <wp:docPr id="8" name="Картина 8" descr="cid:image006.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08968.C0826700"/>
                          <pic:cNvPicPr>
                            <a:picLocks noChangeAspect="1" noChangeArrowheads="1"/>
                          </pic:cNvPicPr>
                        </pic:nvPicPr>
                        <pic:blipFill>
                          <a:blip r:embed="rId13" r:link="rId14"/>
                          <a:srcRect/>
                          <a:stretch>
                            <a:fillRect/>
                          </a:stretch>
                        </pic:blipFill>
                        <pic:spPr bwMode="auto">
                          <a:xfrm>
                            <a:off x="0" y="0"/>
                            <a:ext cx="6400800" cy="97790"/>
                          </a:xfrm>
                          <a:prstGeom prst="rect">
                            <a:avLst/>
                          </a:prstGeom>
                          <a:noFill/>
                          <a:ln w="9525">
                            <a:noFill/>
                            <a:miter lim="800000"/>
                            <a:headEnd/>
                            <a:tailEnd/>
                          </a:ln>
                        </pic:spPr>
                      </pic:pic>
                    </a:graphicData>
                  </a:graphic>
                </wp:inline>
              </w:drawing>
            </w:r>
          </w:p>
        </w:tc>
      </w:tr>
      <w:tr w:rsidR="00574D84" w:rsidTr="00574D84">
        <w:trPr>
          <w:trHeight w:val="312"/>
          <w:tblCellSpacing w:w="0" w:type="dxa"/>
        </w:trPr>
        <w:tc>
          <w:tcPr>
            <w:tcW w:w="6" w:type="dxa"/>
            <w:vAlign w:val="center"/>
            <w:hideMark/>
          </w:tcPr>
          <w:p w:rsidR="00574D84" w:rsidRDefault="00574D84">
            <w:pPr>
              <w:rPr>
                <w:rFonts w:asciiTheme="minorHAnsi" w:hAnsiTheme="minorHAnsi" w:cstheme="minorBidi"/>
                <w:color w:val="auto"/>
              </w:rPr>
            </w:pPr>
          </w:p>
        </w:tc>
        <w:tc>
          <w:tcPr>
            <w:tcW w:w="8064" w:type="dxa"/>
            <w:gridSpan w:val="8"/>
            <w:hideMark/>
          </w:tcPr>
          <w:p w:rsidR="00574D84" w:rsidRDefault="00574D84">
            <w:pPr>
              <w:rPr>
                <w:rFonts w:asciiTheme="minorHAnsi" w:hAnsiTheme="minorHAnsi" w:cstheme="minorBidi"/>
                <w:color w:val="auto"/>
              </w:rPr>
            </w:pPr>
          </w:p>
        </w:tc>
      </w:tr>
      <w:tr w:rsidR="00574D84" w:rsidTr="00574D84">
        <w:trPr>
          <w:trHeight w:val="24"/>
          <w:tblCellSpacing w:w="0" w:type="dxa"/>
        </w:trPr>
        <w:tc>
          <w:tcPr>
            <w:tcW w:w="6" w:type="dxa"/>
            <w:vAlign w:val="center"/>
            <w:hideMark/>
          </w:tcPr>
          <w:p w:rsidR="00574D84" w:rsidRDefault="00574D84">
            <w:pPr>
              <w:rPr>
                <w:rFonts w:asciiTheme="minorHAnsi" w:hAnsiTheme="minorHAnsi" w:cstheme="minorBidi"/>
                <w:color w:val="auto"/>
              </w:rPr>
            </w:pPr>
          </w:p>
        </w:tc>
        <w:tc>
          <w:tcPr>
            <w:tcW w:w="12" w:type="dxa"/>
            <w:vMerge w:val="restart"/>
            <w:hideMark/>
          </w:tcPr>
          <w:p w:rsidR="00574D84" w:rsidRDefault="00574D84">
            <w:pPr>
              <w:spacing w:line="24" w:lineRule="atLeast"/>
              <w:rPr>
                <w:rFonts w:eastAsia="Times New Roman"/>
                <w:color w:val="auto"/>
                <w:sz w:val="24"/>
                <w:szCs w:val="24"/>
              </w:rPr>
            </w:pPr>
            <w:r>
              <w:rPr>
                <w:rFonts w:eastAsia="Times New Roman"/>
                <w:noProof/>
                <w:color w:val="auto"/>
                <w:sz w:val="24"/>
                <w:szCs w:val="24"/>
                <w:lang w:eastAsia="bg-BG"/>
              </w:rPr>
              <w:drawing>
                <wp:inline distT="0" distB="0" distL="0" distR="0">
                  <wp:extent cx="10795" cy="457200"/>
                  <wp:effectExtent l="19050" t="0" r="8255" b="0"/>
                  <wp:docPr id="9" name="Картина 9" descr="cid:image007.jpg@01D08968.C08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jpg@01D08968.C0826700"/>
                          <pic:cNvPicPr>
                            <a:picLocks noChangeAspect="1" noChangeArrowheads="1"/>
                          </pic:cNvPicPr>
                        </pic:nvPicPr>
                        <pic:blipFill>
                          <a:blip r:embed="rId15" r:link="rId16"/>
                          <a:srcRect/>
                          <a:stretch>
                            <a:fillRect/>
                          </a:stretch>
                        </pic:blipFill>
                        <pic:spPr bwMode="auto">
                          <a:xfrm>
                            <a:off x="0" y="0"/>
                            <a:ext cx="10795" cy="457200"/>
                          </a:xfrm>
                          <a:prstGeom prst="rect">
                            <a:avLst/>
                          </a:prstGeom>
                          <a:noFill/>
                          <a:ln w="9525">
                            <a:noFill/>
                            <a:miter lim="800000"/>
                            <a:headEnd/>
                            <a:tailEnd/>
                          </a:ln>
                        </pic:spPr>
                      </pic:pic>
                    </a:graphicData>
                  </a:graphic>
                </wp:inline>
              </w:drawing>
            </w:r>
          </w:p>
        </w:tc>
        <w:tc>
          <w:tcPr>
            <w:tcW w:w="8052" w:type="dxa"/>
            <w:gridSpan w:val="7"/>
            <w:hideMark/>
          </w:tcPr>
          <w:p w:rsidR="00574D84" w:rsidRDefault="00574D84">
            <w:pPr>
              <w:rPr>
                <w:rFonts w:asciiTheme="minorHAnsi" w:hAnsiTheme="minorHAnsi" w:cstheme="minorBidi"/>
                <w:color w:val="auto"/>
              </w:rPr>
            </w:pPr>
          </w:p>
        </w:tc>
      </w:tr>
      <w:tr w:rsidR="00574D84" w:rsidTr="00574D84">
        <w:trPr>
          <w:trHeight w:val="552"/>
          <w:tblCellSpacing w:w="0" w:type="dxa"/>
        </w:trPr>
        <w:tc>
          <w:tcPr>
            <w:tcW w:w="6" w:type="dxa"/>
            <w:vAlign w:val="center"/>
            <w:hideMark/>
          </w:tcPr>
          <w:p w:rsidR="00574D84" w:rsidRDefault="00574D84">
            <w:pPr>
              <w:rPr>
                <w:rFonts w:asciiTheme="minorHAnsi" w:hAnsiTheme="minorHAnsi" w:cstheme="minorBidi"/>
                <w:color w:val="auto"/>
              </w:rPr>
            </w:pPr>
          </w:p>
        </w:tc>
        <w:tc>
          <w:tcPr>
            <w:tcW w:w="0" w:type="auto"/>
            <w:vMerge/>
            <w:vAlign w:val="center"/>
            <w:hideMark/>
          </w:tcPr>
          <w:p w:rsidR="00574D84" w:rsidRDefault="00574D84">
            <w:pPr>
              <w:rPr>
                <w:rFonts w:eastAsia="Times New Roman"/>
                <w:color w:val="auto"/>
                <w:sz w:val="24"/>
                <w:szCs w:val="24"/>
              </w:rPr>
            </w:pPr>
          </w:p>
        </w:tc>
        <w:tc>
          <w:tcPr>
            <w:tcW w:w="7980" w:type="dxa"/>
            <w:gridSpan w:val="4"/>
            <w:vMerge w:val="restart"/>
            <w:hideMark/>
          </w:tcPr>
          <w:p w:rsidR="00574D84" w:rsidRDefault="00574D84">
            <w:pPr>
              <w:pStyle w:val="msoaccenttext2"/>
              <w:spacing w:after="0"/>
              <w:rPr>
                <w:lang w:eastAsia="en-US"/>
              </w:rPr>
            </w:pPr>
            <w:r>
              <w:rPr>
                <w:rFonts w:ascii="Verdana" w:hAnsi="Verdana"/>
                <w:lang w:val="en-US" w:eastAsia="en-US"/>
              </w:rPr>
              <w:t xml:space="preserve">Contact info: </w:t>
            </w:r>
            <w:proofErr w:type="spellStart"/>
            <w:r>
              <w:rPr>
                <w:rFonts w:ascii="Verdana" w:hAnsi="Verdana"/>
                <w:lang w:val="en-US" w:eastAsia="en-US"/>
              </w:rPr>
              <w:t>Vaso</w:t>
            </w:r>
            <w:proofErr w:type="spellEnd"/>
            <w:r>
              <w:rPr>
                <w:rFonts w:ascii="Verdana" w:hAnsi="Verdana"/>
                <w:lang w:val="en-US" w:eastAsia="en-US"/>
              </w:rPr>
              <w:t xml:space="preserve"> </w:t>
            </w:r>
            <w:proofErr w:type="spellStart"/>
            <w:r>
              <w:rPr>
                <w:rFonts w:ascii="Verdana" w:hAnsi="Verdana"/>
                <w:lang w:val="en-US" w:eastAsia="en-US"/>
              </w:rPr>
              <w:t>Dulovic</w:t>
            </w:r>
            <w:proofErr w:type="spellEnd"/>
            <w:r>
              <w:rPr>
                <w:rFonts w:ascii="Verdana" w:hAnsi="Verdana"/>
                <w:lang w:val="en-US" w:eastAsia="en-US"/>
              </w:rPr>
              <w:t xml:space="preserve"> broker, </w:t>
            </w:r>
            <w:proofErr w:type="spellStart"/>
            <w:r>
              <w:rPr>
                <w:rFonts w:ascii="Verdana" w:hAnsi="Verdana"/>
                <w:lang w:val="en-US" w:eastAsia="en-US"/>
              </w:rPr>
              <w:t>tel</w:t>
            </w:r>
            <w:proofErr w:type="spellEnd"/>
            <w:r>
              <w:rPr>
                <w:rFonts w:ascii="Verdana" w:hAnsi="Verdana"/>
                <w:lang w:val="en-US" w:eastAsia="en-US"/>
              </w:rPr>
              <w:t xml:space="preserve">: 011 33 30 506, email: </w:t>
            </w:r>
            <w:hyperlink r:id="rId17" w:history="1">
              <w:r>
                <w:rPr>
                  <w:rStyle w:val="a5"/>
                  <w:rFonts w:ascii="Verdana" w:hAnsi="Verdana"/>
                  <w:lang w:val="en-US" w:eastAsia="en-US"/>
                </w:rPr>
                <w:t>vaso.dulovic@wisebroker.rs</w:t>
              </w:r>
            </w:hyperlink>
            <w:r>
              <w:rPr>
                <w:rFonts w:ascii="Verdana" w:hAnsi="Verdana"/>
                <w:lang w:val="en-US" w:eastAsia="en-US"/>
              </w:rPr>
              <w:t xml:space="preserve"> </w:t>
            </w:r>
            <w:r>
              <w:rPr>
                <w:rFonts w:ascii="Verdana" w:hAnsi="Verdana"/>
                <w:lang w:val="en-US" w:eastAsia="en-US"/>
              </w:rPr>
              <w:br/>
              <w:t xml:space="preserve">BDD WISE Broker, </w:t>
            </w:r>
            <w:proofErr w:type="spellStart"/>
            <w:r>
              <w:rPr>
                <w:rFonts w:ascii="Verdana" w:hAnsi="Verdana"/>
                <w:lang w:val="en-US" w:eastAsia="en-US"/>
              </w:rPr>
              <w:t>Takovska</w:t>
            </w:r>
            <w:proofErr w:type="spellEnd"/>
            <w:r>
              <w:rPr>
                <w:rFonts w:ascii="Verdana" w:hAnsi="Verdana"/>
                <w:lang w:val="en-US" w:eastAsia="en-US"/>
              </w:rPr>
              <w:t xml:space="preserve"> 23-25,  Belgrade, Serbia</w:t>
            </w:r>
            <w:r>
              <w:rPr>
                <w:rFonts w:ascii="Verdana" w:hAnsi="Verdana"/>
                <w:lang w:val="en-US" w:eastAsia="en-US"/>
              </w:rPr>
              <w:br/>
            </w:r>
            <w:r>
              <w:rPr>
                <w:rFonts w:ascii="Verdana" w:hAnsi="Verdana"/>
                <w:b/>
                <w:bCs/>
                <w:sz w:val="11"/>
                <w:szCs w:val="11"/>
                <w:lang w:val="en-US" w:eastAsia="en-US"/>
              </w:rPr>
              <w:t>If you wish no longer to receive this report, please return as with such request.</w:t>
            </w:r>
          </w:p>
        </w:tc>
        <w:tc>
          <w:tcPr>
            <w:tcW w:w="72" w:type="dxa"/>
            <w:gridSpan w:val="3"/>
            <w:vMerge w:val="restart"/>
            <w:hideMark/>
          </w:tcPr>
          <w:p w:rsidR="00574D84" w:rsidRDefault="00574D84">
            <w:pPr>
              <w:rPr>
                <w:rFonts w:asciiTheme="minorHAnsi" w:hAnsiTheme="minorHAnsi" w:cstheme="minorBidi"/>
                <w:color w:val="auto"/>
              </w:rPr>
            </w:pPr>
          </w:p>
        </w:tc>
      </w:tr>
      <w:tr w:rsidR="00574D84" w:rsidTr="00574D84">
        <w:trPr>
          <w:trHeight w:val="240"/>
          <w:tblCellSpacing w:w="0" w:type="dxa"/>
        </w:trPr>
        <w:tc>
          <w:tcPr>
            <w:tcW w:w="6" w:type="dxa"/>
            <w:vAlign w:val="center"/>
            <w:hideMark/>
          </w:tcPr>
          <w:p w:rsidR="00574D84" w:rsidRDefault="00574D84">
            <w:pPr>
              <w:rPr>
                <w:rFonts w:asciiTheme="minorHAnsi" w:hAnsiTheme="minorHAnsi" w:cstheme="minorBidi"/>
                <w:color w:val="auto"/>
              </w:rPr>
            </w:pPr>
          </w:p>
        </w:tc>
        <w:tc>
          <w:tcPr>
            <w:tcW w:w="12" w:type="dxa"/>
            <w:hideMark/>
          </w:tcPr>
          <w:p w:rsidR="00574D84" w:rsidRDefault="00574D84">
            <w:pPr>
              <w:rPr>
                <w:rFonts w:asciiTheme="minorHAnsi" w:hAnsiTheme="minorHAnsi" w:cstheme="minorBidi"/>
                <w:color w:val="auto"/>
              </w:rPr>
            </w:pPr>
          </w:p>
        </w:tc>
        <w:tc>
          <w:tcPr>
            <w:tcW w:w="0" w:type="auto"/>
            <w:gridSpan w:val="4"/>
            <w:vMerge/>
            <w:vAlign w:val="center"/>
            <w:hideMark/>
          </w:tcPr>
          <w:p w:rsidR="00574D84" w:rsidRDefault="00574D84">
            <w:pPr>
              <w:rPr>
                <w:rFonts w:ascii="Trebuchet MS" w:hAnsi="Trebuchet MS"/>
                <w:sz w:val="12"/>
                <w:szCs w:val="12"/>
              </w:rPr>
            </w:pPr>
          </w:p>
        </w:tc>
        <w:tc>
          <w:tcPr>
            <w:tcW w:w="0" w:type="auto"/>
            <w:gridSpan w:val="3"/>
            <w:vMerge/>
            <w:vAlign w:val="center"/>
            <w:hideMark/>
          </w:tcPr>
          <w:p w:rsidR="00574D84" w:rsidRDefault="00574D84">
            <w:pPr>
              <w:rPr>
                <w:rFonts w:asciiTheme="minorHAnsi" w:hAnsiTheme="minorHAnsi" w:cstheme="minorBidi"/>
                <w:color w:val="auto"/>
              </w:rPr>
            </w:pPr>
          </w:p>
        </w:tc>
      </w:tr>
    </w:tbl>
    <w:p w:rsidR="00574D84" w:rsidRDefault="00574D84" w:rsidP="00574D84">
      <w:pPr>
        <w:rPr>
          <w:rFonts w:eastAsia="Times New Roman"/>
          <w:color w:val="auto"/>
          <w:sz w:val="24"/>
          <w:szCs w:val="24"/>
        </w:rPr>
      </w:pPr>
    </w:p>
    <w:p w:rsidR="00574D84" w:rsidRPr="00574D84" w:rsidRDefault="00574D84">
      <w:pPr>
        <w:rPr>
          <w:lang w:val="en-US"/>
        </w:rPr>
      </w:pPr>
    </w:p>
    <w:sectPr w:rsidR="00574D84" w:rsidRPr="00574D84" w:rsidSect="005472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altName w:val="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574D84"/>
    <w:rsid w:val="00312755"/>
    <w:rsid w:val="003B6543"/>
    <w:rsid w:val="005472A2"/>
    <w:rsid w:val="00574D84"/>
    <w:rsid w:val="006826FF"/>
    <w:rsid w:val="00684FE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Verdana"/>
        <w:bCs/>
        <w:color w:val="000000"/>
        <w:sz w:val="22"/>
        <w:szCs w:val="22"/>
        <w:lang w:val="bg-BG" w:eastAsia="en-US" w:bidi="ar-SA"/>
      </w:rPr>
    </w:rPrDefault>
    <w:pPrDefault>
      <w:pPr>
        <w:spacing w:before="20" w:after="20"/>
        <w:ind w:left="215" w:right="459" w:hanging="25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D84"/>
    <w:pPr>
      <w:spacing w:before="0" w:after="0"/>
    </w:pPr>
    <w:rPr>
      <w:rFonts w:ascii="Tahoma" w:hAnsi="Tahoma" w:cs="Tahoma"/>
      <w:sz w:val="16"/>
      <w:szCs w:val="16"/>
    </w:rPr>
  </w:style>
  <w:style w:type="character" w:customStyle="1" w:styleId="a4">
    <w:name w:val="Изнесен текст Знак"/>
    <w:basedOn w:val="a0"/>
    <w:link w:val="a3"/>
    <w:uiPriority w:val="99"/>
    <w:semiHidden/>
    <w:rsid w:val="00574D84"/>
    <w:rPr>
      <w:rFonts w:ascii="Tahoma" w:hAnsi="Tahoma" w:cs="Tahoma"/>
      <w:sz w:val="16"/>
      <w:szCs w:val="16"/>
    </w:rPr>
  </w:style>
  <w:style w:type="character" w:styleId="a5">
    <w:name w:val="Hyperlink"/>
    <w:basedOn w:val="a0"/>
    <w:uiPriority w:val="99"/>
    <w:semiHidden/>
    <w:unhideWhenUsed/>
    <w:rsid w:val="00574D84"/>
    <w:rPr>
      <w:color w:val="0000FF" w:themeColor="hyperlink"/>
      <w:u w:val="single"/>
    </w:rPr>
  </w:style>
  <w:style w:type="paragraph" w:customStyle="1" w:styleId="msoaccenttext2">
    <w:name w:val="msoaccenttext2"/>
    <w:basedOn w:val="a"/>
    <w:rsid w:val="00574D84"/>
    <w:pPr>
      <w:spacing w:before="0" w:after="96" w:line="264" w:lineRule="auto"/>
      <w:ind w:left="0" w:right="0" w:firstLine="0"/>
    </w:pPr>
    <w:rPr>
      <w:rFonts w:ascii="Trebuchet MS" w:hAnsi="Trebuchet MS" w:cs="Times New Roman"/>
      <w:bCs w:val="0"/>
      <w:sz w:val="12"/>
      <w:szCs w:val="12"/>
      <w:lang w:eastAsia="bg-BG"/>
    </w:rPr>
  </w:style>
</w:styles>
</file>

<file path=word/webSettings.xml><?xml version="1.0" encoding="utf-8"?>
<w:webSettings xmlns:r="http://schemas.openxmlformats.org/officeDocument/2006/relationships" xmlns:w="http://schemas.openxmlformats.org/wordprocessingml/2006/main">
  <w:divs>
    <w:div w:id="18059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D08968.C0826700" TargetMode="External"/><Relationship Id="rId12" Type="http://schemas.openxmlformats.org/officeDocument/2006/relationships/image" Target="cid:image005.jpg@01D08968.C0826700" TargetMode="External"/><Relationship Id="rId17" Type="http://schemas.openxmlformats.org/officeDocument/2006/relationships/hyperlink" Target="mailto:vaso.dulovic@wisebroker.rs" TargetMode="External"/><Relationship Id="rId2" Type="http://schemas.openxmlformats.org/officeDocument/2006/relationships/settings" Target="settings.xml"/><Relationship Id="rId16" Type="http://schemas.openxmlformats.org/officeDocument/2006/relationships/image" Target="cid:image007.jpg@01D08968.C082670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jpg@01D08968.C0826700" TargetMode="External"/><Relationship Id="rId5" Type="http://schemas.openxmlformats.org/officeDocument/2006/relationships/image" Target="cid:image001.jpg@01D08968.C0826700" TargetMode="Externa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cid:image003.jpg@01D08968.C0826700" TargetMode="External"/><Relationship Id="rId14" Type="http://schemas.openxmlformats.org/officeDocument/2006/relationships/image" Target="cid:image006.jpg@01D08968.C082670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Penevi</dc:creator>
  <cp:lastModifiedBy>Penevi</cp:lastModifiedBy>
  <cp:revision>1</cp:revision>
  <dcterms:created xsi:type="dcterms:W3CDTF">2015-05-08T09:26:00Z</dcterms:created>
  <dcterms:modified xsi:type="dcterms:W3CDTF">2015-05-08T09:26:00Z</dcterms:modified>
</cp:coreProperties>
</file>